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55" w:rsidRDefault="003014AD">
      <w:r>
        <w:rPr>
          <w:noProof/>
        </w:rPr>
        <w:drawing>
          <wp:inline distT="0" distB="0" distL="0" distR="0">
            <wp:extent cx="3384550" cy="2489200"/>
            <wp:effectExtent l="19050" t="0" r="635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46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35"/>
        <w:gridCol w:w="2631"/>
      </w:tblGrid>
      <w:tr w:rsidR="00A74455" w:rsidRPr="00A74455" w:rsidTr="00A74455">
        <w:trPr>
          <w:tblCellSpacing w:w="0" w:type="dxa"/>
        </w:trPr>
        <w:tc>
          <w:tcPr>
            <w:tcW w:w="5835" w:type="dxa"/>
            <w:hideMark/>
          </w:tcPr>
          <w:p w:rsidR="00A74455" w:rsidRDefault="00A74455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5"/>
            </w:tblGrid>
            <w:tr w:rsidR="00A74455" w:rsidRPr="00A7445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</w:pP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모토로라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GP628 Plus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는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IP67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등급의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분진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차폐와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방수요건을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만족하는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무전기로서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모토로라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프로페셔널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시리즈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무전기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중에서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가장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튼튼하고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견고한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무전기입니다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.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가볍고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작은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구조의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최소형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프로페셔널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무전기인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GP628 Plus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는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FM(Factory Mutual, </w:t>
                  </w:r>
                  <w:proofErr w:type="spellStart"/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방폭</w:t>
                  </w:r>
                  <w:proofErr w:type="spellEnd"/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)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인증을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획득하였으며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미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군사규격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810 C, D, E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를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만족합니다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.</w:t>
                  </w:r>
                </w:p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</w:pP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* IEC(International </w:t>
                  </w:r>
                  <w:proofErr w:type="spellStart"/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Electrontechnical</w:t>
                  </w:r>
                  <w:proofErr w:type="spellEnd"/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Commission) 60529 IP67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등급의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분진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차폐와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방수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요건을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 xml:space="preserve"> 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만족합니다</w:t>
                  </w:r>
                  <w:r w:rsidRPr="00A74455">
                    <w:rPr>
                      <w:rFonts w:ascii="Arial" w:eastAsia="굴림" w:hAnsi="Arial" w:cs="Arial"/>
                      <w:kern w:val="0"/>
                      <w:sz w:val="11"/>
                      <w:szCs w:val="11"/>
                    </w:rPr>
                    <w:t>.</w:t>
                  </w:r>
                </w:p>
              </w:tc>
            </w:tr>
          </w:tbl>
          <w:p w:rsidR="00A74455" w:rsidRPr="00A74455" w:rsidRDefault="00A74455" w:rsidP="00A74455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8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35"/>
              <w:gridCol w:w="300"/>
            </w:tblGrid>
            <w:tr w:rsidR="00A74455" w:rsidRPr="00A74455">
              <w:trPr>
                <w:tblCellSpacing w:w="0" w:type="dxa"/>
              </w:trPr>
              <w:tc>
                <w:tcPr>
                  <w:tcW w:w="553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5"/>
                  </w:tblGrid>
                  <w:tr w:rsidR="00A74455" w:rsidRPr="00A74455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2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CCCCC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"/>
                                <w:gridCol w:w="5384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0" w:type="dxa"/>
                                      <w:left w:w="50" w:type="dxa"/>
                                      <w:bottom w:w="0" w:type="dxa"/>
                                      <w:right w:w="50" w:type="dxa"/>
                                    </w:tcMar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Borders>
                                      <w:left w:val="single" w:sz="8" w:space="0" w:color="FFFFFF"/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10" w:type="dxa"/>
                                      <w:left w:w="100" w:type="dxa"/>
                                      <w:bottom w:w="1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outlineLvl w:val="1"/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주요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기능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74455" w:rsidRPr="00A74455" w:rsidRDefault="00A74455" w:rsidP="00A74455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74455" w:rsidRPr="00A74455" w:rsidRDefault="00A74455" w:rsidP="00A74455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74455" w:rsidRPr="00A74455" w:rsidRDefault="00A74455" w:rsidP="00A74455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99CC"/>
                                  <w:kern w:val="0"/>
                                  <w:sz w:val="12"/>
                                  <w:szCs w:val="12"/>
                                </w:rPr>
                              </w:pPr>
                              <w:r w:rsidRPr="00A74455"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99CC"/>
                                  <w:kern w:val="0"/>
                                  <w:sz w:val="12"/>
                                  <w:szCs w:val="12"/>
                                </w:rPr>
                                <w:t>GP628 Plus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99CC"/>
                                  <w:kern w:val="0"/>
                                  <w:sz w:val="12"/>
                                  <w:szCs w:val="12"/>
                                </w:rPr>
                                <w:t>의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99CC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99CC"/>
                                  <w:kern w:val="0"/>
                                  <w:sz w:val="12"/>
                                  <w:szCs w:val="12"/>
                                </w:rPr>
                                <w:t>특징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b/>
                                  <w:bCs/>
                                  <w:color w:val="0099CC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시그널링</w:t>
                                    </w:r>
                                    <w:proofErr w:type="spellEnd"/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PL / DPL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지원함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옵션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보드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지원하지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않음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bookmarkStart w:id="0" w:name="r39587"/>
                                    <w:bookmarkEnd w:id="0"/>
                                    <w:proofErr w:type="spellStart"/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키패드</w:t>
                                    </w:r>
                                    <w:proofErr w:type="spellEnd"/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지원하지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않음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디스플레이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지원하지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않음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비상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버튼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지원함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배터리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사용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시간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10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시간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(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고출력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), 13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시간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(</w:t>
                                    </w:r>
                                    <w:proofErr w:type="spellStart"/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저출력</w:t>
                                    </w:r>
                                    <w:proofErr w:type="spellEnd"/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) (5:5:90, Li-Ion)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미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군사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규격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MIL-STD 810 C, D, E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방폭</w:t>
                                    </w:r>
                                    <w:proofErr w:type="spellEnd"/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기능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지원함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무게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(gm/kg) -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305 g (Li-Ion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배터리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부착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시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)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주파수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403-470MHz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채널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 -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16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채널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지원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3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크기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(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높이</w:t>
                                    </w:r>
                                    <w:r w:rsidRPr="00A74455">
                                      <w:rPr>
                                        <w:rFonts w:ascii="바탕" w:eastAsia="바탕" w:hAnsi="바탕" w:cs="바탕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ⅹ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가로</w:t>
                                    </w:r>
                                    <w:r w:rsidRPr="00A74455">
                                      <w:rPr>
                                        <w:rFonts w:ascii="바탕" w:eastAsia="바탕" w:hAnsi="바탕" w:cs="바탕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ⅹ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>세로</w:t>
                                    </w:r>
                                    <w:r w:rsidRPr="00A74455">
                                      <w:rPr>
                                        <w:rFonts w:ascii="ArialBold" w:eastAsia="굴림" w:hAnsi="ArialBold" w:cs="Arial"/>
                                        <w:b/>
                                        <w:bCs/>
                                        <w:kern w:val="0"/>
                                        <w:sz w:val="11"/>
                                      </w:rPr>
                                      <w:t xml:space="preserve">) -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101.5 mm x 56.5 mm x 37 mm (</w:t>
                                    </w:r>
                                    <w:proofErr w:type="spellStart"/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노브제외</w:t>
                                    </w:r>
                                    <w:proofErr w:type="spellEnd"/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1"/>
                                      </w:rPr>
                                      <w:t>)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74455" w:rsidRPr="00A74455" w:rsidRDefault="00A74455" w:rsidP="00A74455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66CC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"/>
                                <w:gridCol w:w="5384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0" w:type="dxa"/>
                                      <w:left w:w="50" w:type="dxa"/>
                                      <w:bottom w:w="0" w:type="dxa"/>
                                      <w:right w:w="50" w:type="dxa"/>
                                    </w:tcMar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Borders>
                                      <w:left w:val="single" w:sz="8" w:space="0" w:color="FFFFFF"/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10" w:type="dxa"/>
                                      <w:left w:w="100" w:type="dxa"/>
                                      <w:bottom w:w="1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outlineLvl w:val="1"/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향상된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오디오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품질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74455" w:rsidRPr="00A74455" w:rsidRDefault="00A74455" w:rsidP="00A74455"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모토로라만의</w:t>
                              </w:r>
                              <w:proofErr w:type="spellEnd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특별한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음성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압축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및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저수준</w:t>
                              </w:r>
                              <w:proofErr w:type="spellEnd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확장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(LLE)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기술은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소음이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심한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환경에서도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보다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깨끗하고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보다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향상된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음질로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통신을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계속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유지할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수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있게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해줍니다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74455" w:rsidRPr="00A74455" w:rsidRDefault="00A74455" w:rsidP="00A74455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66CC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"/>
                                <w:gridCol w:w="5384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0" w:type="dxa"/>
                                      <w:left w:w="50" w:type="dxa"/>
                                      <w:bottom w:w="0" w:type="dxa"/>
                                      <w:right w:w="50" w:type="dxa"/>
                                    </w:tcMar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Borders>
                                      <w:left w:val="single" w:sz="8" w:space="0" w:color="FFFFFF"/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10" w:type="dxa"/>
                                      <w:left w:w="100" w:type="dxa"/>
                                      <w:bottom w:w="1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outlineLvl w:val="1"/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작지만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견고한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무전기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74455" w:rsidRPr="00A74455" w:rsidRDefault="00A74455" w:rsidP="00A74455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미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군사규격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810 C, D, E </w:t>
                              </w:r>
                            </w:p>
                            <w:p w:rsidR="00A74455" w:rsidRPr="00A74455" w:rsidRDefault="00A74455" w:rsidP="00A74455">
                              <w:pPr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미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방폭</w:t>
                              </w:r>
                              <w:proofErr w:type="spellEnd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(FM)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인증</w:t>
                              </w:r>
                            </w:p>
                          </w:tc>
                        </w:tr>
                      </w:tbl>
                      <w:p w:rsidR="00A74455" w:rsidRPr="00A74455" w:rsidRDefault="00A74455" w:rsidP="00A74455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35"/>
                        </w:tblGrid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66CC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1"/>
                                <w:gridCol w:w="5384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0" w:type="dxa"/>
                                      <w:left w:w="50" w:type="dxa"/>
                                      <w:bottom w:w="0" w:type="dxa"/>
                                      <w:right w:w="50" w:type="dxa"/>
                                    </w:tcMar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tcBorders>
                                      <w:left w:val="single" w:sz="8" w:space="0" w:color="FFFFFF"/>
                                      <w:bottom w:val="single" w:sz="8" w:space="0" w:color="666666"/>
                                    </w:tcBorders>
                                    <w:shd w:val="clear" w:color="auto" w:fill="D0D8E3"/>
                                    <w:tcMar>
                                      <w:top w:w="10" w:type="dxa"/>
                                      <w:left w:w="100" w:type="dxa"/>
                                      <w:bottom w:w="1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outlineLvl w:val="1"/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사용하기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편리한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74455">
                                      <w:rPr>
                                        <w:rFonts w:ascii="Arial" w:eastAsia="굴림" w:hAnsi="Arial" w:cs="Arial"/>
                                        <w:b/>
                                        <w:bCs/>
                                        <w:kern w:val="0"/>
                                        <w:sz w:val="18"/>
                                        <w:szCs w:val="18"/>
                                      </w:rPr>
                                      <w:t>무전기</w:t>
                                    </w: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74455" w:rsidRPr="00A74455" w:rsidRDefault="00A74455" w:rsidP="00A74455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모토로라만의</w:t>
                              </w:r>
                              <w:proofErr w:type="spellEnd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특별한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MDC</w:t>
                              </w:r>
                              <w:proofErr w:type="spellStart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시그널링</w:t>
                              </w:r>
                              <w:proofErr w:type="spellEnd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프로토콜을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사용하여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초당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1200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비트로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데이터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송신이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가능합니다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  <w:p w:rsidR="00A74455" w:rsidRPr="00A74455" w:rsidRDefault="00A74455" w:rsidP="00A74455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매우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위급하고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긴박한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상황에서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비상통신이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요구되는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경우에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손쉽게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비상버튼을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한번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눌러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비상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경고음은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물론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신속한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도움의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요청이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가능합니다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  <w:p w:rsidR="00A74455" w:rsidRPr="00A74455" w:rsidRDefault="00A74455" w:rsidP="00A74455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국내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및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미국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방폭인증을</w:t>
                              </w:r>
                              <w:proofErr w:type="spellEnd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획득하였으며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위험한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환경에서도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안전하게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사용할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수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있습니다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  <w:p w:rsidR="00A74455" w:rsidRPr="00A74455" w:rsidRDefault="00A74455" w:rsidP="00A74455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RF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출력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레벨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조절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기능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: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사용자는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출력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레벨을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버튼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하나로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조절할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수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있어서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통달거리를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최적화하고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배터리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수명을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연장할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수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있습니다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  <w:p w:rsidR="00A74455" w:rsidRPr="00A74455" w:rsidRDefault="00A74455" w:rsidP="00A74455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3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가지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색의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LED: LED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색상으로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사용중인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배터리의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잔량이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표시되어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저전압을</w:t>
                              </w:r>
                              <w:proofErr w:type="spellEnd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쉽게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감지할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수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있습니다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  <w:p w:rsidR="00A74455" w:rsidRPr="00A74455" w:rsidRDefault="00A74455" w:rsidP="00A74455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태킹</w:t>
                              </w:r>
                              <w:proofErr w:type="spellEnd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기능은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8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명까지의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통신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상대방에게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서로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다른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8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가지의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벨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소리를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지정해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줌으로써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이들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8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명에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대한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호출자</w:t>
                              </w:r>
                              <w:proofErr w:type="spellEnd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식별을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가능하게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합니다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  <w:p w:rsidR="00A74455" w:rsidRPr="00A74455" w:rsidRDefault="00A74455" w:rsidP="00A74455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리피터</w:t>
                              </w:r>
                              <w:proofErr w:type="spellEnd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또는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토크어라운드</w:t>
                              </w:r>
                              <w:proofErr w:type="spellEnd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(</w:t>
                              </w:r>
                              <w:proofErr w:type="spellStart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Talkaround</w:t>
                              </w:r>
                              <w:proofErr w:type="spellEnd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)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활성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/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비활성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기능을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통해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장거리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통신을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지원합니다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  <w:p w:rsidR="00A74455" w:rsidRPr="00A74455" w:rsidRDefault="00A74455" w:rsidP="00A74455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wordWrap/>
                                <w:autoSpaceDE/>
                                <w:autoSpaceDN/>
                                <w:ind w:left="150"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스켈치</w:t>
                              </w:r>
                              <w:proofErr w:type="spellEnd"/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기능을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통해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보다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선명한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오디오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품질을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>지원합니다</w:t>
                              </w: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1"/>
                                  <w:szCs w:val="11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A74455" w:rsidRPr="00A74455" w:rsidRDefault="00A74455" w:rsidP="00A74455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hideMark/>
                </w:tcPr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74455" w:rsidRPr="00A74455" w:rsidRDefault="00A74455" w:rsidP="00A74455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31"/>
            </w:tblGrid>
            <w:tr w:rsidR="00A74455" w:rsidRPr="00A744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351496" cy="3549650"/>
                        <wp:effectExtent l="19050" t="0" r="1054" b="0"/>
                        <wp:docPr id="1" name="그림 1" descr="http://www.motorola.com/governmentandenterprise/contentdir/kr_KO/Images/ProductPhotography/gp628plus_72_171x4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torola.com/governmentandenterprise/contentdir/kr_KO/Images/ProductPhotography/gp628plus_72_171x4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963" cy="3553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4455" w:rsidRPr="00A74455" w:rsidRDefault="00A74455" w:rsidP="00A74455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"/>
              <w:gridCol w:w="2580"/>
            </w:tblGrid>
            <w:tr w:rsidR="00A74455" w:rsidRPr="00A7445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  <w:r w:rsidRPr="00A74455"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74455" w:rsidRPr="00A74455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  <w:r w:rsidRPr="00A74455"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74455" w:rsidRPr="00A74455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  <w:r w:rsidRPr="00A74455"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5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80"/>
                  </w:tblGrid>
                  <w:tr w:rsidR="00A74455" w:rsidRPr="00A74455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CCCCC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1"/>
                          <w:gridCol w:w="2429"/>
                        </w:tblGrid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8" w:space="0" w:color="666666"/>
                              </w:tcBorders>
                              <w:shd w:val="clear" w:color="auto" w:fill="D0D8E3"/>
                              <w:tcMar>
                                <w:top w:w="0" w:type="dxa"/>
                                <w:left w:w="50" w:type="dxa"/>
                                <w:bottom w:w="0" w:type="dxa"/>
                                <w:right w:w="50" w:type="dxa"/>
                              </w:tcMar>
                              <w:hideMark/>
                            </w:tcPr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74455"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tcBorders>
                                <w:left w:val="single" w:sz="8" w:space="0" w:color="FFFFFF"/>
                                <w:bottom w:val="single" w:sz="8" w:space="0" w:color="666666"/>
                              </w:tcBorders>
                              <w:shd w:val="clear" w:color="auto" w:fill="D0D8E3"/>
                              <w:tcMar>
                                <w:top w:w="10" w:type="dxa"/>
                                <w:left w:w="100" w:type="dxa"/>
                                <w:bottom w:w="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74455" w:rsidRPr="00A74455" w:rsidRDefault="000652C0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outlineLvl w:val="1"/>
                                <w:rPr>
                                  <w:rFonts w:ascii="Arial" w:eastAsia="굴림" w:hAnsi="Arial" w:cs="Arial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74455" w:rsidRPr="00A74455">
                                  <w:rPr>
                                    <w:rFonts w:ascii="Arial" w:eastAsia="굴림" w:hAnsi="Arial" w:cs="Arial"/>
                                    <w:b/>
                                    <w:bCs/>
                                    <w:color w:val="666666"/>
                                    <w:kern w:val="0"/>
                                    <w:sz w:val="18"/>
                                    <w:u w:val="single"/>
                                  </w:rPr>
                                  <w:t>참고자료</w:t>
                                </w:r>
                              </w:hyperlink>
                            </w:p>
                          </w:tc>
                        </w:tr>
                      </w:tbl>
                      <w:p w:rsidR="00A74455" w:rsidRPr="00A74455" w:rsidRDefault="00A74455" w:rsidP="00A74455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20" w:type="dxa"/>
                      <w:right w:w="0" w:type="dxa"/>
                    </w:tblCellMar>
                    <w:tblLook w:val="04A0"/>
                  </w:tblPr>
                  <w:tblGrid>
                    <w:gridCol w:w="250"/>
                    <w:gridCol w:w="2330"/>
                  </w:tblGrid>
                  <w:tr w:rsidR="00A74455" w:rsidRPr="00A7445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A74455" w:rsidRPr="00A74455" w:rsidRDefault="00A74455" w:rsidP="00A74455">
                        <w:pPr>
                          <w:widowControl/>
                          <w:wordWrap/>
                          <w:autoSpaceDE/>
                          <w:autoSpaceDN/>
                          <w:spacing w:before="100" w:after="200"/>
                          <w:jc w:val="left"/>
                          <w:rPr>
                            <w:rFonts w:ascii="Arial" w:eastAsia="굴림" w:hAnsi="Arial" w:cs="Arial"/>
                            <w:b/>
                            <w:bCs/>
                            <w:color w:val="000000"/>
                            <w:kern w:val="0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굴림" w:hAnsi="Arial" w:cs="Arial"/>
                            <w:b/>
                            <w:bCs/>
                            <w:noProof/>
                            <w:color w:val="000000"/>
                            <w:kern w:val="0"/>
                            <w:sz w:val="8"/>
                            <w:szCs w:val="8"/>
                          </w:rPr>
                          <w:drawing>
                            <wp:inline distT="0" distB="0" distL="0" distR="0">
                              <wp:extent cx="139700" cy="139700"/>
                              <wp:effectExtent l="19050" t="0" r="0" b="0"/>
                              <wp:docPr id="2" name="그림 2" descr="http://www.motorola.com/governmentandenterprise/public/resources/images/ArrowBtnSmBlu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motorola.com/governmentandenterprise/public/resources/images/ArrowBtnSmBlu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00" cy="13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A74455" w:rsidRPr="00A74455" w:rsidRDefault="000652C0" w:rsidP="00A74455">
                        <w:pPr>
                          <w:widowControl/>
                          <w:wordWrap/>
                          <w:autoSpaceDE/>
                          <w:autoSpaceDN/>
                          <w:spacing w:before="100" w:after="200"/>
                          <w:jc w:val="left"/>
                          <w:rPr>
                            <w:rFonts w:ascii="Arial" w:eastAsia="굴림" w:hAnsi="Arial" w:cs="Arial"/>
                            <w:b/>
                            <w:bCs/>
                            <w:color w:val="000000"/>
                            <w:kern w:val="0"/>
                            <w:sz w:val="8"/>
                            <w:szCs w:val="8"/>
                          </w:rPr>
                        </w:pPr>
                        <w:hyperlink r:id="rId11" w:history="1">
                          <w:r w:rsidR="00A74455" w:rsidRPr="00A74455">
                            <w:rPr>
                              <w:rFonts w:ascii="Arial" w:eastAsia="굴림" w:hAnsi="Arial" w:cs="Arial"/>
                              <w:b/>
                              <w:bCs/>
                              <w:color w:val="666666"/>
                              <w:kern w:val="0"/>
                              <w:sz w:val="11"/>
                              <w:szCs w:val="11"/>
                              <w:u w:val="single"/>
                            </w:rPr>
                            <w:t>브로셔</w:t>
                          </w:r>
                        </w:hyperlink>
                      </w:p>
                    </w:tc>
                  </w:tr>
                </w:tbl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74455" w:rsidRPr="00A74455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  <w:r w:rsidRPr="00A74455"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5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65"/>
                  </w:tblGrid>
                  <w:tr w:rsidR="00A74455" w:rsidRPr="00A7445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56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65"/>
                        </w:tblGrid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74455" w:rsidRPr="00A74455" w:rsidRDefault="00A74455" w:rsidP="00A74455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vanish/>
                            <w:kern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256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65"/>
                        </w:tblGrid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74455" w:rsidRPr="00A74455" w:rsidRDefault="00A74455" w:rsidP="00A74455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vanish/>
                            <w:kern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256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65"/>
                        </w:tblGrid>
                        <w:tr w:rsidR="00A74455" w:rsidRPr="00A744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256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6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굴림" w:eastAsia="굴림" w:hAnsi="굴림" w:cs="굴림"/>
                                  <w:vanish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256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65"/>
                              </w:tblGrid>
                              <w:tr w:rsidR="00A74455" w:rsidRPr="00A744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74455" w:rsidRPr="00A74455" w:rsidRDefault="00A74455" w:rsidP="00A74455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Arial" w:eastAsia="굴림" w:hAnsi="Arial" w:cs="Arial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4455" w:rsidRPr="00A74455" w:rsidRDefault="00A74455" w:rsidP="00A74455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Arial" w:eastAsia="굴림" w:hAnsi="Arial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74455" w:rsidRPr="00A74455" w:rsidRDefault="00A74455" w:rsidP="00A74455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"/>
                  </w:tblGrid>
                  <w:tr w:rsidR="00A74455" w:rsidRPr="00A74455" w:rsidTr="00A7445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74455" w:rsidRPr="00A74455" w:rsidRDefault="00A74455" w:rsidP="00A74455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Arial" w:eastAsia="굴림" w:hAnsi="Arial" w:cs="Arial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74455" w:rsidRPr="00A74455" w:rsidRDefault="00A74455" w:rsidP="00A7445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굴림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74455" w:rsidRPr="00A74455" w:rsidRDefault="00A74455" w:rsidP="00A74455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</w:tbl>
    <w:p w:rsidR="00FC3B9A" w:rsidRDefault="00FC3B9A"/>
    <w:p w:rsidR="00A74455" w:rsidRDefault="00A74455"/>
    <w:tbl>
      <w:tblPr>
        <w:tblW w:w="93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45"/>
      </w:tblGrid>
      <w:tr w:rsidR="002339B6" w:rsidRPr="002339B6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  <w:gridCol w:w="15"/>
              <w:gridCol w:w="15"/>
              <w:gridCol w:w="1110"/>
              <w:gridCol w:w="15"/>
              <w:gridCol w:w="1260"/>
              <w:gridCol w:w="15"/>
              <w:gridCol w:w="6"/>
            </w:tblGrid>
            <w:tr w:rsidR="002339B6" w:rsidRPr="002339B6">
              <w:trPr>
                <w:tblCellSpacing w:w="0" w:type="dxa"/>
                <w:jc w:val="right"/>
              </w:trPr>
              <w:tc>
                <w:tcPr>
                  <w:tcW w:w="1110" w:type="dxa"/>
                  <w:vAlign w:val="center"/>
                  <w:hideMark/>
                </w:tcPr>
                <w:p w:rsidR="002339B6" w:rsidRPr="002339B6" w:rsidRDefault="002339B6" w:rsidP="002339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0000FF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704850" cy="387350"/>
                        <wp:effectExtent l="19050" t="0" r="0" b="0"/>
                        <wp:docPr id="12" name="그림 1" descr="http://www.two-way.co.kr/products/img/detail_select1_off.gif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wo-way.co.kr/products/img/detail_select1_off.gif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2339B6" w:rsidRPr="002339B6" w:rsidRDefault="002339B6" w:rsidP="002339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333333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6350" cy="387350"/>
                        <wp:effectExtent l="0" t="0" r="0" b="0"/>
                        <wp:docPr id="11" name="그림 2" descr="http://www.two-way.co.kr/products/img/select_cu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wo-way.co.kr/products/img/select_cu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2339B6" w:rsidRPr="002339B6" w:rsidRDefault="002339B6" w:rsidP="002339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333333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6350" cy="387350"/>
                        <wp:effectExtent l="0" t="0" r="0" b="0"/>
                        <wp:docPr id="10" name="그림 3" descr="http://www.two-way.co.kr/products/img/select_cu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wo-way.co.kr/products/img/select_cu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2339B6" w:rsidRPr="002339B6" w:rsidRDefault="002339B6" w:rsidP="002339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0000FF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685800" cy="387350"/>
                        <wp:effectExtent l="19050" t="0" r="0" b="0"/>
                        <wp:docPr id="4" name="그림 4" descr="http://www.two-way.co.kr/products/img/detail_select3_off.gif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wo-way.co.kr/products/img/detail_select3_off.gif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2339B6" w:rsidRPr="002339B6" w:rsidRDefault="002339B6" w:rsidP="002339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333333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6350" cy="387350"/>
                        <wp:effectExtent l="0" t="0" r="0" b="0"/>
                        <wp:docPr id="5" name="그림 5" descr="http://www.two-way.co.kr/products/img/select_cu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two-way.co.kr/products/img/select_cu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2339B6" w:rsidRPr="002339B6" w:rsidRDefault="002339B6" w:rsidP="002339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0000FF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781050" cy="387350"/>
                        <wp:effectExtent l="19050" t="0" r="0" b="0"/>
                        <wp:docPr id="6" name="그림 6" descr="http://www.two-way.co.kr/products/img/detail_select4_off.gif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two-way.co.kr/products/img/detail_select4_off.gif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2339B6" w:rsidRPr="002339B6" w:rsidRDefault="002339B6" w:rsidP="002339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ascii="굴림" w:eastAsia="굴림" w:hAnsi="굴림" w:cs="굴림"/>
                      <w:noProof/>
                      <w:color w:val="333333"/>
                      <w:kern w:val="0"/>
                      <w:sz w:val="12"/>
                      <w:szCs w:val="12"/>
                    </w:rPr>
                    <w:drawing>
                      <wp:inline distT="0" distB="0" distL="0" distR="0">
                        <wp:extent cx="6350" cy="387350"/>
                        <wp:effectExtent l="0" t="0" r="0" b="0"/>
                        <wp:docPr id="7" name="그림 7" descr="http://www.two-way.co.kr/products/img/select_cu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two-way.co.kr/products/img/select_cu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38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9B6" w:rsidRPr="002339B6" w:rsidRDefault="002339B6" w:rsidP="002339B6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color w:val="333333"/>
                      <w:kern w:val="0"/>
                      <w:sz w:val="12"/>
                      <w:szCs w:val="12"/>
                    </w:rPr>
                  </w:pPr>
                </w:p>
              </w:tc>
            </w:tr>
          </w:tbl>
          <w:p w:rsidR="002339B6" w:rsidRPr="002339B6" w:rsidRDefault="002339B6" w:rsidP="002339B6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</w:p>
        </w:tc>
      </w:tr>
      <w:tr w:rsidR="002339B6" w:rsidRPr="002339B6">
        <w:trPr>
          <w:trHeight w:val="465"/>
          <w:tblCellSpacing w:w="0" w:type="dxa"/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2339B6" w:rsidRPr="002339B6" w:rsidRDefault="002339B6" w:rsidP="002339B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  <w:bookmarkStart w:id="1" w:name="01"/>
            <w:bookmarkEnd w:id="1"/>
            <w:r>
              <w:rPr>
                <w:rFonts w:ascii="굴림" w:eastAsia="굴림" w:hAnsi="굴림" w:cs="굴림"/>
                <w:noProof/>
                <w:color w:val="333333"/>
                <w:kern w:val="0"/>
                <w:sz w:val="12"/>
                <w:szCs w:val="12"/>
              </w:rPr>
              <w:drawing>
                <wp:inline distT="0" distB="0" distL="0" distR="0">
                  <wp:extent cx="711200" cy="158750"/>
                  <wp:effectExtent l="19050" t="0" r="0" b="0"/>
                  <wp:docPr id="8" name="그림 8" descr="http://www.two-way.co.kr/products/img/ti_spe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wo-way.co.kr/products/img/ti_spe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9B6" w:rsidRPr="002339B6">
        <w:trPr>
          <w:tblCellSpacing w:w="0" w:type="dxa"/>
          <w:jc w:val="center"/>
        </w:trPr>
        <w:tc>
          <w:tcPr>
            <w:tcW w:w="0" w:type="auto"/>
            <w:tcMar>
              <w:top w:w="90" w:type="dxa"/>
              <w:left w:w="250" w:type="dxa"/>
              <w:bottom w:w="200" w:type="dxa"/>
              <w:right w:w="0" w:type="dxa"/>
            </w:tcMar>
            <w:vAlign w:val="center"/>
            <w:hideMark/>
          </w:tcPr>
          <w:p w:rsidR="002339B6" w:rsidRPr="002339B6" w:rsidRDefault="002339B6" w:rsidP="002339B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lastRenderedPageBreak/>
              <w:t xml:space="preserve">현재 </w:t>
            </w:r>
            <w:proofErr w:type="spellStart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모토로라가</w:t>
            </w:r>
            <w:proofErr w:type="spellEnd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공급하고 있는 무전기 중 가장 견고한 제품 중의 하나인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GP628 Plus 무전기를 소개합니다.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IP67 등급의 분진 차폐 및 방수 요건을 갖춘 이 무전기 제품은 견고한 외부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설계에 의하여 충격 및 낙하 등에도 매우 강한 내구성을 자랑합니다.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GP628 Plus는 매우 위험한 작업 환경이나 극한 상황의 비상 구조 업무에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매우 </w:t>
            </w:r>
            <w:proofErr w:type="spellStart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적합니다</w:t>
            </w:r>
            <w:proofErr w:type="spellEnd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.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가볍고 작은 구조의 최소형 프로페셔널 무전기인 GP628 Plus는 또한,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FM(Factory Mutual, </w:t>
            </w:r>
            <w:proofErr w:type="spellStart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방폭</w:t>
            </w:r>
            <w:proofErr w:type="spellEnd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) 인증을 획득하였으며 미 군사규격 810 C, D, E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</w:r>
            <w:proofErr w:type="spellStart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를</w:t>
            </w:r>
            <w:proofErr w:type="spellEnd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만족합니다.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*FM(Factory Mutual) 인증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GP628 Plus 무전기는 Factory Mutual(FM)의 본질안전(</w:t>
            </w:r>
            <w:proofErr w:type="spellStart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방폭</w:t>
            </w:r>
            <w:proofErr w:type="spellEnd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) 인증을 획득하여 함께 인증된 배터리와 함께 사용될 경우 Division 1,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Class I, II, III, Groups C</w:t>
            </w:r>
            <w:proofErr w:type="gramStart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,D,E,F,G</w:t>
            </w:r>
            <w:proofErr w:type="gramEnd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및 Division 2, Class I, Groups A,B,C,D로 규정된 지역에서 안전하게 사용할 수 있습니다.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*IP 코드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IP 코드는 차폐 수준이나 </w:t>
            </w:r>
            <w:proofErr w:type="spellStart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보호량을</w:t>
            </w:r>
            <w:proofErr w:type="spellEnd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지시하는 명칭으로,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문자 IP(International Protection)와 그 뒤의 숫자 2자리로 구성됩니다.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IP :International(국제)Protection(보호)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외부 분진의 침입으로부터 보호 정도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6 = 분진 차폐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7 = 일시적 </w:t>
            </w:r>
            <w:proofErr w:type="spellStart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침수시</w:t>
            </w:r>
            <w:proofErr w:type="spellEnd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차폐(Sealing) 정도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(수중 1 m에서 30분간 익수)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수중 1m에서 30분간 익수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</w:r>
            <w:r w:rsidRPr="002339B6">
              <w:rPr>
                <w:rFonts w:ascii="굴림" w:eastAsia="굴림" w:hAnsi="굴림" w:cs="굴림"/>
                <w:color w:val="FF0000"/>
                <w:kern w:val="0"/>
                <w:sz w:val="12"/>
                <w:szCs w:val="12"/>
              </w:rPr>
              <w:t>Motorola GP628 Plus는 IP67 등급의 분진 차폐 및 방수형 무전기 입니다.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초소형 무전기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향상된 오디오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비상경보 및 긴급사이렌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2단계출력 선택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2개의 측면버튼과 PTT 실장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상면의 오렌지색 비상버튼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* MDC1200 </w:t>
            </w:r>
            <w:proofErr w:type="spellStart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시그널링의</w:t>
            </w:r>
            <w:proofErr w:type="spellEnd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다양한 기능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- PTT ID / 상태 메시지 / 호출 경보</w:t>
            </w:r>
          </w:p>
        </w:tc>
      </w:tr>
      <w:tr w:rsidR="002339B6" w:rsidRPr="002339B6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339B6" w:rsidRPr="002339B6" w:rsidRDefault="002339B6" w:rsidP="002339B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2"/>
                <w:szCs w:val="12"/>
              </w:rPr>
            </w:pPr>
          </w:p>
        </w:tc>
      </w:tr>
      <w:tr w:rsidR="002339B6" w:rsidRPr="002339B6">
        <w:trPr>
          <w:trHeight w:val="465"/>
          <w:tblCellSpacing w:w="0" w:type="dxa"/>
          <w:jc w:val="center"/>
        </w:trPr>
        <w:tc>
          <w:tcPr>
            <w:tcW w:w="0" w:type="auto"/>
            <w:shd w:val="clear" w:color="auto" w:fill="F7F7F7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2339B6" w:rsidRPr="002339B6" w:rsidRDefault="002339B6" w:rsidP="002339B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  <w:bookmarkStart w:id="2" w:name="03"/>
            <w:bookmarkEnd w:id="2"/>
            <w:r>
              <w:rPr>
                <w:rFonts w:ascii="굴림" w:eastAsia="굴림" w:hAnsi="굴림" w:cs="굴림"/>
                <w:noProof/>
                <w:color w:val="333333"/>
                <w:kern w:val="0"/>
                <w:sz w:val="12"/>
                <w:szCs w:val="12"/>
              </w:rPr>
              <w:drawing>
                <wp:inline distT="0" distB="0" distL="0" distR="0">
                  <wp:extent cx="704850" cy="158750"/>
                  <wp:effectExtent l="19050" t="0" r="0" b="0"/>
                  <wp:docPr id="9" name="그림 9" descr="http://www.two-way.co.kr/products/img/ti_spe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wo-way.co.kr/products/img/ti_spe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9B6" w:rsidRPr="002339B6">
        <w:trPr>
          <w:tblCellSpacing w:w="0" w:type="dxa"/>
          <w:jc w:val="center"/>
        </w:trPr>
        <w:tc>
          <w:tcPr>
            <w:tcW w:w="0" w:type="auto"/>
            <w:tcMar>
              <w:top w:w="90" w:type="dxa"/>
              <w:left w:w="250" w:type="dxa"/>
              <w:bottom w:w="200" w:type="dxa"/>
              <w:right w:w="0" w:type="dxa"/>
            </w:tcMar>
            <w:vAlign w:val="center"/>
            <w:hideMark/>
          </w:tcPr>
          <w:p w:rsidR="002339B6" w:rsidRPr="002339B6" w:rsidRDefault="002339B6" w:rsidP="002339B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</w:pP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* 크기(</w:t>
            </w:r>
            <w:proofErr w:type="spellStart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노브</w:t>
            </w:r>
            <w:proofErr w:type="spellEnd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제외</w:t>
            </w:r>
            <w:proofErr w:type="gramStart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) :</w:t>
            </w:r>
            <w:proofErr w:type="gramEnd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101.5(H) X 56.5(W) X 37mm(D)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무게 : 305g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출력 : 4W(UHF)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 xml:space="preserve">* </w:t>
            </w:r>
            <w:proofErr w:type="spellStart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>채널수</w:t>
            </w:r>
            <w:proofErr w:type="spellEnd"/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t xml:space="preserve"> : 16CH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주파수범위 : UHF(403~470MHz)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차폐 : 미 군사규격 810 C / D / E 및 IP67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충격 및 진동 : 미 군사규격 810 C / D / E 및 TIA/EIA 603</w:t>
            </w:r>
            <w:r w:rsidRPr="002339B6">
              <w:rPr>
                <w:rFonts w:ascii="굴림" w:eastAsia="굴림" w:hAnsi="굴림" w:cs="굴림"/>
                <w:color w:val="333333"/>
                <w:kern w:val="0"/>
                <w:sz w:val="12"/>
                <w:szCs w:val="12"/>
              </w:rPr>
              <w:br/>
              <w:t>* 분진 및 습기 : 미 군사규격 810 C / D / E 및 TIA/EIA 603</w:t>
            </w:r>
          </w:p>
        </w:tc>
      </w:tr>
    </w:tbl>
    <w:p w:rsidR="00A74455" w:rsidRPr="002339B6" w:rsidRDefault="00A74455"/>
    <w:sectPr w:rsidR="00A74455" w:rsidRPr="002339B6" w:rsidSect="00FC3B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CC" w:rsidRDefault="006C6BCC" w:rsidP="003014AD">
      <w:r>
        <w:separator/>
      </w:r>
    </w:p>
  </w:endnote>
  <w:endnote w:type="continuationSeparator" w:id="0">
    <w:p w:rsidR="006C6BCC" w:rsidRDefault="006C6BCC" w:rsidP="0030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CC" w:rsidRDefault="006C6BCC" w:rsidP="003014AD">
      <w:r>
        <w:separator/>
      </w:r>
    </w:p>
  </w:footnote>
  <w:footnote w:type="continuationSeparator" w:id="0">
    <w:p w:rsidR="006C6BCC" w:rsidRDefault="006C6BCC" w:rsidP="00301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83D"/>
    <w:multiLevelType w:val="multilevel"/>
    <w:tmpl w:val="FBB4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C6EB5"/>
    <w:multiLevelType w:val="multilevel"/>
    <w:tmpl w:val="E89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D0996"/>
    <w:multiLevelType w:val="multilevel"/>
    <w:tmpl w:val="BDF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455"/>
    <w:rsid w:val="000652C0"/>
    <w:rsid w:val="002339B6"/>
    <w:rsid w:val="003014AD"/>
    <w:rsid w:val="004D14AA"/>
    <w:rsid w:val="006C6BCC"/>
    <w:rsid w:val="00A74455"/>
    <w:rsid w:val="00C17695"/>
    <w:rsid w:val="00FC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9A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A74455"/>
    <w:pPr>
      <w:widowControl/>
      <w:wordWrap/>
      <w:autoSpaceDE/>
      <w:autoSpaceDN/>
      <w:jc w:val="left"/>
      <w:outlineLvl w:val="1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A74455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74455"/>
    <w:rPr>
      <w:color w:val="666666"/>
      <w:u w:val="single"/>
    </w:rPr>
  </w:style>
  <w:style w:type="paragraph" w:styleId="a4">
    <w:name w:val="Normal (Web)"/>
    <w:basedOn w:val="a"/>
    <w:uiPriority w:val="99"/>
    <w:unhideWhenUsed/>
    <w:rsid w:val="00A74455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11"/>
      <w:szCs w:val="11"/>
    </w:rPr>
  </w:style>
  <w:style w:type="character" w:customStyle="1" w:styleId="tablesubhead1">
    <w:name w:val="tablesubhead1"/>
    <w:basedOn w:val="a0"/>
    <w:rsid w:val="00A74455"/>
    <w:rPr>
      <w:rFonts w:ascii="ArialBold" w:hAnsi="ArialBold" w:hint="default"/>
      <w:b/>
      <w:bCs/>
      <w:sz w:val="11"/>
      <w:szCs w:val="11"/>
    </w:rPr>
  </w:style>
  <w:style w:type="character" w:customStyle="1" w:styleId="tablebody1">
    <w:name w:val="tablebody1"/>
    <w:basedOn w:val="a0"/>
    <w:rsid w:val="00A74455"/>
    <w:rPr>
      <w:rFonts w:ascii="Arial" w:hAnsi="Arial" w:cs="Arial" w:hint="default"/>
      <w:sz w:val="11"/>
      <w:szCs w:val="11"/>
    </w:rPr>
  </w:style>
  <w:style w:type="paragraph" w:styleId="a5">
    <w:name w:val="Balloon Text"/>
    <w:basedOn w:val="a"/>
    <w:link w:val="Char"/>
    <w:uiPriority w:val="99"/>
    <w:semiHidden/>
    <w:unhideWhenUsed/>
    <w:rsid w:val="00A74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744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014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3014AD"/>
  </w:style>
  <w:style w:type="paragraph" w:styleId="a7">
    <w:name w:val="footer"/>
    <w:basedOn w:val="a"/>
    <w:link w:val="Char1"/>
    <w:uiPriority w:val="99"/>
    <w:semiHidden/>
    <w:unhideWhenUsed/>
    <w:rsid w:val="003014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301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3909">
      <w:bodyDiv w:val="1"/>
      <w:marLeft w:val="100"/>
      <w:marRight w:val="10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gif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two-way.co.kr/products/detail.php?uid=91&amp;cate1=b&amp;cate2=a&amp;page=1#01" TargetMode="External"/><Relationship Id="rId17" Type="http://schemas.openxmlformats.org/officeDocument/2006/relationships/hyperlink" Target="http://www.two-way.co.kr/products/detail.php?uid=91&amp;cate1=b&amp;cate2=a&amp;page=1#04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torola.com/governmentandenterprise/kr/ko/public/functions/browseproduct/relateddocuments.aspx?navigationpath=id_801i/id_1388i/id_1152i/id_188i/id_2854i&amp;doctype=id_140i&amp;cwrap=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o-way.co.kr/products/detail.php?uid=91&amp;cate1=b&amp;cate2=a&amp;page=1#03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http://www.motorola.com/governmentandenterprise/kr/ko/public/functions/browseproduct/relateddocuments.aspx?navigationpath=id_801i/id_1388i/id_1152i/id_188i/id_2854i&amp;doctype=&amp;cwrap=n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2526</Characters>
  <Application>Microsoft Office Word</Application>
  <DocSecurity>0</DocSecurity>
  <Lines>21</Lines>
  <Paragraphs>5</Paragraphs>
  <ScaleCrop>false</ScaleCrop>
  <Company>Grizli777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2011-03-18T09:18:00Z</dcterms:created>
  <dcterms:modified xsi:type="dcterms:W3CDTF">2011-03-19T08:54:00Z</dcterms:modified>
</cp:coreProperties>
</file>